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suppressLineNumbers w:val="0"/>
        <w:pBdr>
          <w:top w:val="none" w:sz="0" w:space="1" w:color="auto"/>
          <w:left w:val="none" w:sz="0" w:space="4" w:color="auto"/>
          <w:bottom w:val="none" w:sz="0" w:space="1" w:color="auto"/>
          <w:right w:val="none" w:sz="0" w:space="4" w:color="auto"/>
        </w:pBdr>
        <w:suppressAutoHyphens w:val="0"/>
        <w:spacing w:before="0"/>
        <w:ind w:left="0" w:right="-113" w:firstLine="0"/>
        <w:jc w:val="center"/>
        <w:rPr>
          <w:rFonts w:ascii="方正小标宋简体" w:eastAsia="方正小标宋简体" w:hint="eastAsia"/>
          <w:vanish w:val="0"/>
          <w:color w:val="FF0000"/>
          <w:spacing w:val="70"/>
          <w:w w:val="66"/>
          <w:kern w:val="0"/>
          <w:sz w:val="144"/>
          <w:szCs w:val="144"/>
        </w:rPr>
      </w:pPr>
      <w:bookmarkStart w:id="0" w:name="文号"/>
      <w:bookmarkStart w:id="1" w:name="_GoBack"/>
      <w:bookmarkEnd w:id="1"/>
      <w:r>
        <w:rPr>
          <w:rFonts w:ascii="方正小标宋简体" w:eastAsia="方正小标宋简体" w:hint="eastAsia"/>
          <w:vanish w:val="0"/>
          <w:color w:val="FF0000"/>
          <w:spacing w:val="70"/>
          <w:w w:val="66"/>
          <w:kern w:val="0"/>
          <w:sz w:val="144"/>
          <w:szCs w:val="144"/>
        </w:rPr>
        <w:t>安徽工程大学文件</w:t>
      </w:r>
      <w:bookmarkEnd w:id="0"/>
    </w:p>
    <w:p>
      <w:pPr>
        <w:spacing w:before="0" w:beforeAutospacing="0" w:after="0" w:afterAutospacing="0"/>
        <w:ind w:left="0" w:firstLine="0"/>
        <w:jc w:val="center"/>
        <w:rPr>
          <w:rFonts w:eastAsia="仿宋_GB2312"/>
          <w:bCs/>
          <w:color w:val="000000"/>
          <w:kern w:val="0"/>
          <w:sz w:val="32"/>
          <w:szCs w:val="32"/>
        </w:rPr>
      </w:pPr>
      <w:bookmarkStart w:id="2" w:name="docnum"/>
      <w:r>
        <w:rPr>
          <w:rFonts w:eastAsia="仿宋_GB2312"/>
          <w:bCs/>
          <w:color w:val="000000"/>
          <w:kern w:val="0"/>
          <w:sz w:val="32"/>
          <w:szCs w:val="32"/>
        </w:rPr>
        <w:t>校科字〔2026〕9号</w:t>
      </w:r>
      <w:bookmarkEnd w:id="2"/>
    </w:p>
    <w:p>
      <w:pPr>
        <w:spacing w:before="0" w:beforeAutospacing="0" w:after="0" w:afterAutospacing="0"/>
        <w:ind w:left="0" w:right="30" w:hanging="105"/>
        <w:jc w:val="center"/>
        <w:rPr>
          <w:rFonts w:eastAsia="仿宋_GB2312" w:hint="eastAsia"/>
          <w:bCs/>
          <w:color w:val="000000"/>
          <w:kern w:val="0"/>
          <w:sz w:val="32"/>
          <w:szCs w:val="32"/>
        </w:rPr>
      </w:pPr>
      <w:r>
        <w:rPr>
          <w:rFonts w:eastAsia="仿宋_GB2312" w:hint="eastAsia"/>
          <w:bCs/>
          <w:color w:val="000000"/>
          <w:kern w:val="0"/>
          <w:sz w:val="32"/>
          <w:szCs w:val="32"/>
        </w:rPr>
        <mc:AlternateContent>
          <mc:Choice Requires="wps">
            <w:drawing>
              <wp:inline distT="0" distB="0" distL="114300" distR="114300">
                <wp:extent cx="5753100" cy="38100"/>
                <wp:docPr id="3" name="矩形 3"/>
                <wp:cNvGraphicFramePr>
                  <a:graphicFrameLocks noChangeAspect="0"/>
                </wp:cNvGraphicFramePr>
                <a:graphic>
                  <a:graphicData uri="http://schemas.microsoft.com/office/word/2010/wordprocessingShape">
                    <wps:wsp>
                      <wps:cNvSpPr/>
                      <wps:spPr>
                        <a:xfrm rot="0">
                          <a:off x="0" y="0"/>
                          <a:ext cx="5753100" cy="38100"/>
                        </a:xfrm>
                        <a:prstGeom prst="rect"/>
                        <a:solidFill>
                          <a:srgbClr val="FF0000"/>
                        </a:solidFill>
                        <a:ln w="9525" cmpd="sng" cap="flat">
                          <a:noFill/>
                          <a:prstDash val="solid"/>
                          <a:miter/>
                        </a:ln>
                      </wps:spPr>
                      <wps:bodyPr vert="horz" wrap="square" lIns="91440" tIns="45720" rIns="91440" bIns="45720" anchor="t" anchorCtr="0" upright="1">
                        <a:noAutofit/>
                      </wps:bodyPr>
                    </wps:wsp>
                  </a:graphicData>
                </a:graphic>
              </wp:inline>
            </w:drawing>
          </mc:Choice>
          <mc:Fallback>
            <w:pict>
              <v:rect type="#_x0000_t1" id="矩形 3" o:spid="_x0000_s1" fillcolor="#FF0000" stroked="f" style="width:453.0pt;height:3.0pt;">
                <v:stroke/>
                <w10:anchorLock/>
              </v:rect>
            </w:pict>
          </mc:Fallback>
        </mc:AlternateContent>
      </w:r>
    </w:p>
    <w:p>
      <w:pPr>
        <w:adjustRightInd w:val="0"/>
        <w:snapToGrid/>
        <w:spacing w:before="0" w:beforeAutospacing="0" w:after="0" w:afterAutospacing="0" w:line="580" w:lineRule="exact"/>
        <w:ind w:left="0" w:firstLine="0"/>
        <w:contextualSpacing w:val="0"/>
        <w:jc w:val="center"/>
        <w:rPr>
          <w:rFonts w:eastAsia="仿宋_GB2312"/>
          <w:bCs/>
          <w:color w:val="000000"/>
          <w:kern w:val="0"/>
          <w:sz w:val="32"/>
          <w:szCs w:val="32"/>
        </w:rPr>
      </w:pPr>
    </w:p>
    <w:p>
      <w:pPr>
        <w:adjustRightInd w:val="0"/>
        <w:snapToGrid/>
        <w:spacing w:before="0" w:beforeAutospacing="0" w:after="0" w:afterAutospacing="0" w:line="580" w:lineRule="exact"/>
        <w:ind w:left="0" w:firstLine="0"/>
        <w:contextualSpacing w:val="0"/>
        <w:jc w:val="center"/>
        <w:rPr>
          <w:rFonts w:eastAsia="仿宋_GB2312" w:hint="eastAsia"/>
          <w:bCs/>
          <w:color w:val="000000"/>
          <w:kern w:val="0"/>
          <w:sz w:val="32"/>
          <w:szCs w:val="32"/>
        </w:rPr>
      </w:pPr>
    </w:p>
    <w:p>
      <w:pPr>
        <w:adjustRightInd w:val="0"/>
        <w:snapToGrid/>
        <w:spacing w:before="0" w:beforeAutospacing="0" w:after="0" w:afterAutospacing="0" w:line="580" w:lineRule="exact"/>
        <w:ind w:left="0" w:firstLine="0"/>
        <w:contextualSpacing w:val="0"/>
        <w:jc w:val="center"/>
        <w:rPr>
          <w:rFonts w:ascii="方正小标宋简体" w:eastAsia="方正小标宋简体" w:cs="宋体" w:hAnsi="宋体" w:hint="eastAsia"/>
          <w:caps w:val="0"/>
          <w:smallCaps w:val="0"/>
          <w:vanish w:val="0"/>
          <w:color w:val="000000"/>
          <w:kern w:val="0"/>
          <w:sz w:val="44"/>
          <w:szCs w:val="44"/>
          <w:vertAlign w:val="baseline"/>
          <w:lang w:bidi="ar-SA"/>
        </w:rPr>
      </w:pPr>
      <w:r>
        <w:rPr>
          <w:rFonts w:ascii="方正小标宋简体" w:eastAsia="方正小标宋简体" w:hint="eastAsia"/>
          <w:color w:val="000000"/>
          <w:sz w:val="44"/>
          <w:szCs w:val="44"/>
        </w:rPr>
        <w:t>安徽工程大学地方技术转移中心管理暂行办法</w:t>
      </w:r>
    </w:p>
    <w:p>
      <w:pPr>
        <w:adjustRightInd w:val="0"/>
        <w:snapToGrid/>
        <w:spacing w:before="0" w:beforeAutospacing="0" w:after="0" w:afterAutospacing="0" w:line="580" w:lineRule="exact"/>
        <w:ind w:left="0" w:firstLine="0"/>
        <w:contextualSpacing w:val="0"/>
        <w:rPr>
          <w:rFonts w:ascii="仿宋_GB2312" w:eastAsia="仿宋_GB2312" w:hint="eastAsia"/>
          <w:caps w:val="0"/>
          <w:smallCaps w:val="0"/>
          <w:vanish w:val="0"/>
          <w:color w:val="auto"/>
          <w:sz w:val="32"/>
          <w:szCs w:val="32"/>
          <w:vertAlign w:val="baseline"/>
        </w:rPr>
      </w:pPr>
    </w:p>
    <w:p>
      <w:pPr>
        <w:kinsoku/>
        <w:wordWrap w:val="0"/>
        <w:overflowPunct/>
        <w:topLinePunct w:val="0"/>
        <w:autoSpaceDE/>
        <w:autoSpaceDN/>
        <w:adjustRightInd w:val="0"/>
        <w:snapToGrid w:val="0"/>
        <w:spacing w:line="580" w:lineRule="exact"/>
        <w:contextualSpacing w:val="0"/>
        <w:jc w:val="left"/>
        <w:rPr>
          <w:rFonts w:ascii="Times New Roman" w:eastAsia="楷体_GB2312" w:hAnsi="Times New Roman"/>
          <w:sz w:val="32"/>
          <w:szCs w:val="32"/>
        </w:rPr>
      </w:pPr>
      <w:r>
        <w:rPr>
          <w:rFonts w:ascii="Times New Roman" w:eastAsia="楷体_GB2312" w:hAnsi="Times New Roman"/>
          <w:sz w:val="32"/>
          <w:szCs w:val="32"/>
        </w:rPr>
        <w:t>各学院、各部门：</w:t>
      </w:r>
    </w:p>
    <w:p>
      <w:pPr>
        <w:adjustRightInd w:val="0"/>
        <w:snapToGrid w:val="0"/>
        <w:spacing w:line="580" w:lineRule="exact"/>
        <w:ind w:firstLineChars="200" w:firstLine="640"/>
        <w:contextualSpacing w:val="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安徽工程大学地方技术转移中心管理暂行办法</w:t>
      </w:r>
      <w:r>
        <w:rPr>
          <w:rFonts w:ascii="Times New Roman" w:eastAsia="楷体_GB2312" w:hAnsi="Times New Roman"/>
          <w:sz w:val="32"/>
          <w:szCs w:val="32"/>
        </w:rPr>
        <w:t>》已经学校第三届党委常委会第46次会议研究通过，现予以印发，请抓好贯彻落实。</w:t>
      </w:r>
    </w:p>
    <w:p>
      <w:pPr>
        <w:adjustRightInd w:val="0"/>
        <w:snapToGrid w:val="0"/>
        <w:spacing w:line="580" w:lineRule="exact"/>
        <w:contextualSpacing w:val="0"/>
        <w:jc w:val="left"/>
        <w:rPr>
          <w:rFonts w:ascii="Times New Roman" w:eastAsia="楷体_GB2312" w:hAnsi="Times New Roman"/>
          <w:sz w:val="32"/>
          <w:szCs w:val="32"/>
        </w:rPr>
      </w:pPr>
    </w:p>
    <w:p>
      <w:pPr>
        <w:adjustRightInd w:val="0"/>
        <w:snapToGrid w:val="0"/>
        <w:spacing w:line="580" w:lineRule="exact"/>
        <w:contextualSpacing w:val="0"/>
        <w:jc w:val="left"/>
        <w:rPr>
          <w:rFonts w:ascii="Times New Roman" w:eastAsia="楷体_GB2312" w:hAnsi="Times New Roman"/>
          <w:sz w:val="32"/>
          <w:szCs w:val="32"/>
        </w:rPr>
      </w:pPr>
    </w:p>
    <w:p>
      <w:pPr>
        <w:kinsoku/>
        <w:wordWrap w:val="0"/>
        <w:overflowPunct/>
        <w:topLinePunct w:val="0"/>
        <w:autoSpaceDE/>
        <w:autoSpaceDN/>
        <w:adjustRightInd w:val="0"/>
        <w:snapToGrid w:val="0"/>
        <w:spacing w:line="580" w:lineRule="exact"/>
        <w:ind w:right="1560"/>
        <w:contextualSpacing w:val="0"/>
        <w:jc w:val="right"/>
        <w:rPr>
          <w:rFonts w:ascii="Times New Roman" w:eastAsia="楷体_GB2312" w:hAnsi="Times New Roman"/>
          <w:sz w:val="32"/>
          <w:szCs w:val="32"/>
        </w:rPr>
      </w:pPr>
      <w:r>
        <w:rPr>
          <w:rFonts w:ascii="Times New Roman" w:eastAsia="楷体_GB2312" w:hAnsi="Times New Roman"/>
          <w:sz w:val="32"/>
          <w:szCs w:val="32"/>
        </w:rPr>
        <w:t>安徽工程大学</w:t>
      </w:r>
    </w:p>
    <w:p>
      <w:pPr>
        <w:kinsoku/>
        <w:wordWrap w:val="0"/>
        <w:overflowPunct/>
        <w:topLinePunct w:val="0"/>
        <w:autoSpaceDE/>
        <w:autoSpaceDN/>
        <w:adjustRightInd w:val="0"/>
        <w:snapToGrid w:val="0"/>
        <w:spacing w:line="580" w:lineRule="exact"/>
        <w:ind w:right="1215"/>
        <w:contextualSpacing w:val="0"/>
        <w:jc w:val="right"/>
        <w:rPr>
          <w:rFonts w:ascii="Times New Roman" w:eastAsia="楷体_GB2312" w:hAnsi="Times New Roman"/>
          <w:sz w:val="32"/>
          <w:szCs w:val="32"/>
        </w:rPr>
      </w:pPr>
      <w:r>
        <w:rPr>
          <w:rFonts w:ascii="Times New Roman" w:eastAsia="楷体_GB2312" w:hAnsi="Times New Roman"/>
          <w:sz w:val="32"/>
          <w:szCs w:val="32"/>
        </w:rPr>
        <w:t>2026年4月30日</w:t>
      </w:r>
    </w:p>
    <w:p>
      <w:pPr>
        <w:keepNext w:val="0"/>
        <w:keepLines w:val="0"/>
        <w:pageBreakBefore w:val="0"/>
        <w:widowControl/>
        <w:suppressLineNumbers w:val="0"/>
        <w:suppressAutoHyphens w:val="0"/>
        <w:kinsoku w:val="0"/>
        <w:wordWrap/>
        <w:overflowPunct/>
        <w:topLinePunct w:val="0"/>
        <w:autoSpaceDE w:val="0"/>
        <w:autoSpaceDN w:val="0"/>
        <w:adjustRightInd w:val="0"/>
        <w:snapToGrid w:val="0"/>
        <w:spacing w:line="580" w:lineRule="exact"/>
        <w:contextualSpacing w:val="0"/>
        <w:jc w:val="center"/>
        <w:textAlignment w:val="baseline"/>
        <w:rPr>
          <w:rFonts w:ascii="Times New Roman" w:eastAsia="方正小标宋简体" w:hAnsi="Times New Roman"/>
          <w:color w:val="000000"/>
          <w:sz w:val="44"/>
          <w:szCs w:val="44"/>
        </w:rPr>
      </w:pPr>
    </w:p>
    <w:p>
      <w:pPr>
        <w:keepNext w:val="0"/>
        <w:keepLines w:val="0"/>
        <w:pageBreakBefore w:val="0"/>
        <w:widowControl/>
        <w:suppressLineNumbers w:val="0"/>
        <w:suppressAutoHyphens w:val="0"/>
        <w:kinsoku w:val="0"/>
        <w:wordWrap/>
        <w:overflowPunct/>
        <w:topLinePunct w:val="0"/>
        <w:autoSpaceDE w:val="0"/>
        <w:autoSpaceDN w:val="0"/>
        <w:adjustRightInd w:val="0"/>
        <w:snapToGrid w:val="0"/>
        <w:spacing w:line="580" w:lineRule="exact"/>
        <w:contextualSpacing w:val="0"/>
        <w:jc w:val="center"/>
        <w:textAlignment w:val="baseline"/>
        <w:rPr>
          <w:rFonts w:ascii="Times New Roman" w:eastAsia="方正小标宋简体" w:hAnsi="Times New Roman"/>
          <w:color w:val="000000"/>
          <w:sz w:val="44"/>
          <w:szCs w:val="44"/>
        </w:rPr>
      </w:pPr>
    </w:p>
    <w:p>
      <w:pPr>
        <w:rPr>
          <w:rFonts w:ascii="方正小标宋简体" w:eastAsia="方正小标宋简体"/>
          <w:color w:val="000000"/>
          <w:sz w:val="44"/>
          <w:szCs w:val="44"/>
        </w:rPr>
      </w:pPr>
    </w:p>
    <w:p>
      <w:pPr>
        <w:adjustRightInd w:val="0"/>
        <w:snapToGrid w:val="0"/>
        <w:spacing w:line="560" w:lineRule="exact"/>
        <w:ind w:left="0"/>
        <w:contextualSpacing w:val="0"/>
        <w:jc w:val="left"/>
        <w:rPr>
          <w:rFonts w:ascii="仿宋_GB2312" w:eastAsia="仿宋_GB2312" w:cs="楷体_GB2312" w:hAnsi="楷体_GB2312"/>
          <w:b/>
          <w:spacing w:val="-4"/>
          <w:sz w:val="32"/>
          <w:szCs w:val="32"/>
        </w:rPr>
      </w:pPr>
      <w:r>
        <w:rPr>
          <w:rFonts w:ascii="方正小标宋简体" w:eastAsia="方正小标宋简体" w:hint="eastAsia"/>
          <w:color w:val="000000"/>
          <w:sz w:val="44"/>
          <w:szCs w:val="44"/>
        </w:rPr>
        <w:t>安徽工程大学地方技术转移中心管理暂行办法</w:t>
      </w:r>
    </w:p>
    <w:p>
      <w:pPr>
        <w:adjustRightInd w:val="0"/>
        <w:snapToGrid w:val="0"/>
        <w:spacing w:line="580" w:lineRule="exact"/>
        <w:ind w:firstLineChars="200" w:firstLine="640"/>
        <w:contextualSpacing w:val="0"/>
        <w:rPr>
          <w:rFonts w:ascii="黑体" w:eastAsia="黑体" w:cs="黑体" w:hAnsi="黑体"/>
          <w:sz w:val="32"/>
          <w:szCs w:val="32"/>
        </w:rPr>
      </w:pPr>
    </w:p>
    <w:p>
      <w:pPr>
        <w:adjustRightInd w:val="0"/>
        <w:snapToGrid w:val="0"/>
        <w:spacing w:line="560" w:lineRule="exact"/>
        <w:ind w:firstLineChars="200" w:firstLine="640"/>
        <w:contextualSpacing w:val="0"/>
        <w:rPr>
          <w:rFonts w:ascii="仿宋_GB2312" w:eastAsia="仿宋_GB2312" w:cs="楷体_GB2312" w:hAnsi="楷体_GB2312"/>
          <w:bCs/>
          <w:spacing w:val="-4"/>
          <w:sz w:val="32"/>
          <w:szCs w:val="32"/>
        </w:rPr>
      </w:pPr>
      <w:r>
        <w:rPr>
          <w:rFonts w:ascii="黑体" w:eastAsia="黑体" w:cs="黑体" w:hAnsi="黑体" w:hint="eastAsia"/>
          <w:sz w:val="32"/>
          <w:szCs w:val="32"/>
        </w:rPr>
        <w:t xml:space="preserve">第一条 </w:t>
      </w:r>
      <w:r>
        <w:rPr>
          <w:rFonts w:ascii="黑体" w:eastAsia="黑体" w:cs="黑体" w:hAnsi="黑体"/>
          <w:sz w:val="32"/>
          <w:szCs w:val="32"/>
        </w:rPr>
        <w:t xml:space="preserve"> </w:t>
      </w:r>
      <w:r>
        <w:rPr>
          <w:rFonts w:ascii="仿宋_GB2312" w:eastAsia="仿宋_GB2312" w:cs="楷体_GB2312" w:hAnsi="楷体_GB2312" w:hint="eastAsia"/>
          <w:bCs/>
          <w:spacing w:val="-4"/>
          <w:sz w:val="32"/>
          <w:szCs w:val="32"/>
        </w:rPr>
        <w:t>为深化校地融合，加快科技成果转化，规范地方技术转移中心的建设与运行管理，服务区域经济高质量发展，依据《国务院关于印发国家技术转移体系建设方案的通知》（国发〔</w:t>
      </w:r>
      <w:r>
        <w:rPr>
          <w:rFonts w:ascii="Times New Roman" w:eastAsia="仿宋_GB2312" w:hAnsi="Times New Roman"/>
          <w:bCs/>
          <w:spacing w:val="-4"/>
          <w:sz w:val="32"/>
          <w:szCs w:val="32"/>
        </w:rPr>
        <w:t>2017</w:t>
      </w:r>
      <w:r>
        <w:rPr>
          <w:rFonts w:ascii="仿宋_GB2312" w:eastAsia="仿宋_GB2312" w:cs="楷体_GB2312" w:hAnsi="楷体_GB2312" w:hint="eastAsia"/>
          <w:bCs/>
          <w:spacing w:val="-4"/>
          <w:sz w:val="32"/>
          <w:szCs w:val="32"/>
        </w:rPr>
        <w:t>〕</w:t>
      </w:r>
      <w:r>
        <w:rPr>
          <w:rFonts w:ascii="Times New Roman" w:eastAsia="仿宋_GB2312" w:hAnsi="Times New Roman" w:hint="eastAsia"/>
          <w:bCs/>
          <w:spacing w:val="-4"/>
          <w:sz w:val="32"/>
          <w:szCs w:val="32"/>
        </w:rPr>
        <w:t>44</w:t>
      </w:r>
      <w:r>
        <w:rPr>
          <w:rFonts w:ascii="仿宋_GB2312" w:eastAsia="仿宋_GB2312" w:cs="楷体_GB2312" w:hAnsi="楷体_GB2312" w:hint="eastAsia"/>
          <w:bCs/>
          <w:spacing w:val="-4"/>
          <w:sz w:val="32"/>
          <w:szCs w:val="32"/>
        </w:rPr>
        <w:t>号）、《关于进一步推进高等学校专业化技术转移机构建设发展的实施意见》（国科发区〔</w:t>
      </w:r>
      <w:r>
        <w:rPr>
          <w:rFonts w:ascii="Times New Roman" w:eastAsia="仿宋_GB2312" w:hAnsi="Times New Roman" w:hint="eastAsia"/>
          <w:bCs/>
          <w:spacing w:val="-4"/>
          <w:sz w:val="32"/>
          <w:szCs w:val="32"/>
        </w:rPr>
        <w:t>2020</w:t>
      </w:r>
      <w:r>
        <w:rPr>
          <w:rFonts w:ascii="仿宋_GB2312" w:eastAsia="仿宋_GB2312" w:cs="楷体_GB2312" w:hAnsi="楷体_GB2312" w:hint="eastAsia"/>
          <w:bCs/>
          <w:spacing w:val="-4"/>
          <w:sz w:val="32"/>
          <w:szCs w:val="32"/>
        </w:rPr>
        <w:t>〕</w:t>
      </w:r>
      <w:r>
        <w:rPr>
          <w:rFonts w:ascii="Times New Roman" w:eastAsia="仿宋_GB2312" w:hAnsi="Times New Roman" w:hint="eastAsia"/>
          <w:bCs/>
          <w:spacing w:val="-4"/>
          <w:sz w:val="32"/>
          <w:szCs w:val="32"/>
        </w:rPr>
        <w:t>33</w:t>
      </w:r>
      <w:r>
        <w:rPr>
          <w:rFonts w:ascii="仿宋_GB2312" w:eastAsia="仿宋_GB2312" w:cs="楷体_GB2312" w:hAnsi="楷体_GB2312" w:hint="eastAsia"/>
          <w:bCs/>
          <w:spacing w:val="-4"/>
          <w:sz w:val="32"/>
          <w:szCs w:val="32"/>
        </w:rPr>
        <w:t>号）、《安徽省深化科技创新体制机制改革加快科技成果转化应用体系建设行动方案》（皖政〔</w:t>
      </w:r>
      <w:r>
        <w:rPr>
          <w:rFonts w:ascii="Times New Roman" w:eastAsia="仿宋_GB2312" w:hAnsi="Times New Roman" w:hint="eastAsia"/>
          <w:bCs/>
          <w:spacing w:val="-4"/>
          <w:sz w:val="32"/>
          <w:szCs w:val="32"/>
        </w:rPr>
        <w:t>2022</w:t>
      </w:r>
      <w:r>
        <w:rPr>
          <w:rFonts w:ascii="仿宋_GB2312" w:eastAsia="仿宋_GB2312" w:cs="楷体_GB2312" w:hAnsi="楷体_GB2312" w:hint="eastAsia"/>
          <w:bCs/>
          <w:spacing w:val="-4"/>
          <w:sz w:val="32"/>
          <w:szCs w:val="32"/>
        </w:rPr>
        <w:t>〕</w:t>
      </w:r>
      <w:r>
        <w:rPr>
          <w:rFonts w:ascii="Times New Roman" w:eastAsia="仿宋_GB2312" w:hAnsi="Times New Roman" w:hint="eastAsia"/>
          <w:bCs/>
          <w:spacing w:val="-4"/>
          <w:sz w:val="32"/>
          <w:szCs w:val="32"/>
        </w:rPr>
        <w:t>64</w:t>
      </w:r>
      <w:r>
        <w:rPr>
          <w:rFonts w:ascii="仿宋_GB2312" w:eastAsia="仿宋_GB2312" w:cs="楷体_GB2312" w:hAnsi="楷体_GB2312" w:hint="eastAsia"/>
          <w:bCs/>
          <w:spacing w:val="-4"/>
          <w:sz w:val="32"/>
          <w:szCs w:val="32"/>
        </w:rPr>
        <w:t>号）等上级文件要求，结合学校实际，制定本办法。</w:t>
      </w:r>
    </w:p>
    <w:p>
      <w:pPr>
        <w:adjustRightInd w:val="0"/>
        <w:snapToGrid w:val="0"/>
        <w:spacing w:line="560" w:lineRule="exact"/>
        <w:ind w:firstLineChars="200" w:firstLine="640"/>
        <w:contextualSpacing w:val="0"/>
        <w:rPr>
          <w:rFonts w:ascii="Times New Roman" w:eastAsia="宋体" w:hAnsi="Times New Roman"/>
          <w:sz w:val="21"/>
        </w:rPr>
      </w:pPr>
      <w:r>
        <w:rPr>
          <w:rFonts w:ascii="黑体" w:eastAsia="黑体" w:cs="黑体" w:hAnsi="黑体" w:hint="eastAsia"/>
          <w:sz w:val="32"/>
          <w:szCs w:val="32"/>
        </w:rPr>
        <w:t>第二条</w:t>
      </w:r>
      <w:r>
        <w:rPr>
          <w:rFonts w:ascii="黑体" w:eastAsia="黑体" w:cs="黑体" w:hAnsi="黑体"/>
          <w:sz w:val="32"/>
          <w:szCs w:val="32"/>
        </w:rPr>
        <w:t xml:space="preserve">  </w:t>
      </w:r>
      <w:r>
        <w:rPr>
          <w:rFonts w:ascii="仿宋_GB2312" w:eastAsia="仿宋_GB2312" w:cs="楷体_GB2312" w:hAnsi="楷体_GB2312" w:hint="eastAsia"/>
          <w:bCs/>
          <w:spacing w:val="-4"/>
          <w:sz w:val="32"/>
          <w:szCs w:val="32"/>
        </w:rPr>
        <w:t>地方技术转移中心是学校技术转移中心下设的派出机构，实行统一规范命名。由学校统筹管理，对口对接地方政府、产业园区及相关单位，依法依规签订合作协议，开展技术研发、成果转化、产学研交流培训、科创平台共建等常态化技术服务工作。</w:t>
      </w:r>
    </w:p>
    <w:p>
      <w:pPr>
        <w:adjustRightInd w:val="0"/>
        <w:snapToGrid w:val="0"/>
        <w:spacing w:line="560" w:lineRule="exact"/>
        <w:ind w:firstLineChars="200" w:firstLine="640"/>
        <w:contextualSpacing w:val="0"/>
        <w:rPr>
          <w:rFonts w:ascii="仿宋_GB2312" w:eastAsia="仿宋_GB2312" w:cs="楷体_GB2312" w:hAnsi="楷体_GB2312"/>
          <w:bCs/>
          <w:spacing w:val="-4"/>
          <w:sz w:val="32"/>
          <w:szCs w:val="32"/>
        </w:rPr>
      </w:pPr>
      <w:r>
        <w:rPr>
          <w:rFonts w:ascii="黑体" w:eastAsia="黑体" w:cs="黑体" w:hAnsi="黑体" w:hint="eastAsia"/>
          <w:sz w:val="32"/>
          <w:szCs w:val="32"/>
        </w:rPr>
        <w:t>第三条</w:t>
      </w:r>
      <w:r>
        <w:rPr>
          <w:rFonts w:ascii="仿宋_GB2312" w:eastAsia="仿宋_GB2312" w:cs="楷体_GB2312" w:hAnsi="楷体_GB2312"/>
          <w:bCs/>
          <w:spacing w:val="-4"/>
          <w:sz w:val="32"/>
          <w:szCs w:val="32"/>
        </w:rPr>
        <w:t xml:space="preserve">  </w:t>
      </w:r>
      <w:r>
        <w:rPr>
          <w:rFonts w:ascii="仿宋_GB2312" w:eastAsia="仿宋_GB2312" w:cs="楷体_GB2312" w:hAnsi="楷体_GB2312" w:hint="eastAsia"/>
          <w:bCs/>
          <w:spacing w:val="-4"/>
          <w:sz w:val="32"/>
          <w:szCs w:val="32"/>
        </w:rPr>
        <w:t>实行“学校统筹布点、学院牵头建点、团队在岗蹲点”的管理运行模式。学校科技处联同相关职能部门统筹对接地方政府、重点园区及企业，结合地方产业布局与发展需求，拟定各地方技术转移中心的合作协议，明确年度任务指标，按程序报审签约。各二级学院作为建设主体单位，全面负责属地地方技术转移中心的建设、运行及履约管理。</w:t>
      </w:r>
    </w:p>
    <w:p>
      <w:pPr>
        <w:adjustRightInd w:val="0"/>
        <w:snapToGrid w:val="0"/>
        <w:spacing w:line="560" w:lineRule="exact"/>
        <w:ind w:firstLineChars="200" w:firstLine="640"/>
        <w:contextualSpacing w:val="0"/>
        <w:rPr>
          <w:rFonts w:ascii="仿宋_GB2312" w:eastAsia="仿宋_GB2312" w:cs="楷体_GB2312" w:hAnsi="楷体_GB2312"/>
          <w:bCs/>
          <w:spacing w:val="-4"/>
          <w:sz w:val="32"/>
          <w:szCs w:val="32"/>
        </w:rPr>
      </w:pPr>
      <w:r>
        <w:rPr>
          <w:rFonts w:ascii="黑体" w:eastAsia="黑体" w:cs="黑体" w:hAnsi="黑体" w:hint="eastAsia"/>
          <w:sz w:val="32"/>
          <w:szCs w:val="32"/>
        </w:rPr>
        <w:t>第四条</w:t>
      </w:r>
      <w:r>
        <w:rPr>
          <w:rFonts w:ascii="仿宋_GB2312" w:eastAsia="仿宋_GB2312" w:cs="楷体_GB2312" w:hAnsi="楷体_GB2312"/>
          <w:bCs/>
          <w:spacing w:val="-4"/>
          <w:sz w:val="32"/>
          <w:szCs w:val="32"/>
        </w:rPr>
        <w:t xml:space="preserve">  </w:t>
      </w:r>
      <w:r>
        <w:rPr>
          <w:rFonts w:ascii="仿宋_GB2312" w:eastAsia="仿宋_GB2312" w:cs="楷体_GB2312" w:hAnsi="楷体_GB2312" w:hint="eastAsia"/>
          <w:bCs/>
          <w:spacing w:val="-4"/>
          <w:sz w:val="32"/>
          <w:szCs w:val="32"/>
        </w:rPr>
        <w:t>牵头学院负责所建地方技术转移中心的日常运行管理，可择优选派本院在岗教师担任蹲点负责人；确有需要的，可按学校规定合规聘用社会临时人员。学院结合实际工作量及任务完成情况，参照学校相关规定，从运营经费中合规列支工作补贴。补贴标准由学院党政联席会议研究确定，形成会议纪要后报科技处备案执行。</w:t>
      </w:r>
    </w:p>
    <w:p>
      <w:pPr>
        <w:adjustRightInd w:val="0"/>
        <w:snapToGrid w:val="0"/>
        <w:spacing w:line="560" w:lineRule="exact"/>
        <w:ind w:firstLineChars="200" w:firstLine="640"/>
        <w:contextualSpacing w:val="0"/>
        <w:rPr>
          <w:rFonts w:ascii="仿宋_GB2312" w:eastAsia="仿宋_GB2312" w:cs="楷体_GB2312" w:hAnsi="楷体_GB2312"/>
          <w:bCs/>
          <w:spacing w:val="-4"/>
          <w:sz w:val="32"/>
          <w:szCs w:val="32"/>
        </w:rPr>
      </w:pPr>
      <w:r>
        <w:rPr>
          <w:rFonts w:ascii="黑体" w:eastAsia="黑体" w:cs="黑体" w:hAnsi="黑体" w:hint="eastAsia"/>
          <w:sz w:val="32"/>
          <w:szCs w:val="32"/>
        </w:rPr>
        <w:t>第五条</w:t>
      </w:r>
      <w:r>
        <w:rPr>
          <w:rFonts w:ascii="仿宋_GB2312" w:eastAsia="仿宋_GB2312" w:cs="楷体_GB2312" w:hAnsi="楷体_GB2312"/>
          <w:bCs/>
          <w:spacing w:val="-4"/>
          <w:sz w:val="32"/>
          <w:szCs w:val="32"/>
        </w:rPr>
        <w:t xml:space="preserve">  </w:t>
      </w:r>
      <w:r>
        <w:rPr>
          <w:rFonts w:ascii="仿宋_GB2312" w:eastAsia="仿宋_GB2312" w:cs="楷体_GB2312" w:hAnsi="楷体_GB2312" w:hint="eastAsia"/>
          <w:bCs/>
          <w:spacing w:val="-4"/>
          <w:sz w:val="32"/>
          <w:szCs w:val="32"/>
        </w:rPr>
        <w:t>学院依据校地共建协议，明确技术转移中心负责人的岗位职责、年度目标任务及考核奖惩细则，并签订岗位任务书。实行年度闭环考核，考核合格者予以续聘；考核不合格或未完成约定任务的，依规予以解聘。考核结果在校内公示，并备案存档。</w:t>
      </w:r>
    </w:p>
    <w:p>
      <w:pPr>
        <w:adjustRightInd w:val="0"/>
        <w:snapToGrid w:val="0"/>
        <w:spacing w:line="560" w:lineRule="exact"/>
        <w:ind w:firstLineChars="200" w:firstLine="640"/>
        <w:contextualSpacing w:val="0"/>
        <w:rPr>
          <w:rFonts w:ascii="Times New Roman" w:eastAsia="宋体" w:hAnsi="Times New Roman"/>
          <w:sz w:val="21"/>
        </w:rPr>
      </w:pPr>
      <w:r>
        <w:rPr>
          <w:rFonts w:ascii="黑体" w:eastAsia="黑体" w:cs="黑体" w:hAnsi="黑体" w:hint="eastAsia"/>
          <w:sz w:val="32"/>
          <w:szCs w:val="32"/>
        </w:rPr>
        <w:t>第六条</w:t>
      </w:r>
      <w:r>
        <w:rPr>
          <w:rFonts w:ascii="仿宋_GB2312" w:eastAsia="仿宋_GB2312" w:cs="楷体_GB2312" w:hAnsi="楷体_GB2312"/>
          <w:bCs/>
          <w:spacing w:val="-4"/>
          <w:sz w:val="32"/>
          <w:szCs w:val="32"/>
        </w:rPr>
        <w:t xml:space="preserve">  </w:t>
      </w:r>
      <w:r>
        <w:rPr>
          <w:rFonts w:ascii="仿宋_GB2312" w:eastAsia="仿宋_GB2312" w:cs="楷体_GB2312" w:hAnsi="楷体_GB2312" w:hint="eastAsia"/>
          <w:bCs/>
          <w:spacing w:val="-4"/>
          <w:sz w:val="32"/>
          <w:szCs w:val="32"/>
        </w:rPr>
        <w:t>对于蹲点开展一线技术转移服务的地方技术转移中心负责人，所在学院根据其实际驻岗履职情况，按学校相关政策合理核减其校内教学工作量，保障驻点人员集中精力开展属地科创服务。</w:t>
      </w:r>
    </w:p>
    <w:p>
      <w:pPr>
        <w:adjustRightInd w:val="0"/>
        <w:snapToGrid w:val="0"/>
        <w:spacing w:line="560" w:lineRule="exact"/>
        <w:ind w:firstLineChars="200" w:firstLine="640"/>
        <w:contextualSpacing w:val="0"/>
        <w:rPr>
          <w:rFonts w:ascii="仿宋_GB2312" w:eastAsia="仿宋_GB2312" w:cs="楷体_GB2312" w:hAnsi="楷体_GB2312"/>
          <w:bCs/>
          <w:spacing w:val="-4"/>
          <w:sz w:val="32"/>
          <w:szCs w:val="32"/>
        </w:rPr>
      </w:pPr>
      <w:r>
        <w:rPr>
          <w:rFonts w:ascii="黑体" w:eastAsia="黑体" w:cs="黑体" w:hAnsi="黑体" w:hint="eastAsia"/>
          <w:sz w:val="32"/>
          <w:szCs w:val="32"/>
        </w:rPr>
        <w:t>第七条</w:t>
      </w:r>
      <w:r>
        <w:rPr>
          <w:rFonts w:ascii="仿宋_GB2312" w:eastAsia="仿宋_GB2312" w:cs="楷体_GB2312" w:hAnsi="楷体_GB2312"/>
          <w:bCs/>
          <w:spacing w:val="-4"/>
          <w:sz w:val="32"/>
          <w:szCs w:val="32"/>
        </w:rPr>
        <w:t xml:space="preserve">  </w:t>
      </w:r>
      <w:r>
        <w:rPr>
          <w:rFonts w:ascii="仿宋_GB2312" w:eastAsia="仿宋_GB2312" w:cs="楷体_GB2312" w:hAnsi="楷体_GB2312" w:hint="eastAsia"/>
          <w:bCs/>
          <w:spacing w:val="-4"/>
          <w:sz w:val="32"/>
          <w:szCs w:val="32"/>
        </w:rPr>
        <w:t>在地方技术转移中心建设及运行过程中，若因学院管理不到位、派驻人员履职不力等校方主观原因，造成合作经费拨付滞后、合作中止、损害学校声誉、产生合规风险等不良后果，学校将依法依规追究牵头学院及相关责任人员的责任。</w:t>
      </w:r>
    </w:p>
    <w:p>
      <w:pPr>
        <w:adjustRightInd w:val="0"/>
        <w:snapToGrid w:val="0"/>
        <w:spacing w:line="560" w:lineRule="exact"/>
        <w:ind w:firstLineChars="200" w:firstLine="640"/>
        <w:contextualSpacing w:val="0"/>
        <w:rPr>
          <w:rFonts w:ascii="仿宋_GB2312" w:eastAsia="仿宋_GB2312" w:cs="楷体_GB2312" w:hAnsi="楷体_GB2312"/>
          <w:bCs/>
          <w:spacing w:val="-4"/>
          <w:sz w:val="32"/>
          <w:szCs w:val="32"/>
        </w:rPr>
      </w:pPr>
      <w:r>
        <w:rPr>
          <w:rFonts w:ascii="黑体" w:eastAsia="黑体" w:cs="黑体" w:hAnsi="黑体" w:hint="eastAsia"/>
          <w:sz w:val="32"/>
          <w:szCs w:val="32"/>
        </w:rPr>
        <w:t>第八条</w:t>
      </w:r>
      <w:r>
        <w:rPr>
          <w:rFonts w:ascii="仿宋_GB2312" w:eastAsia="仿宋_GB2312" w:cs="楷体_GB2312" w:hAnsi="楷体_GB2312"/>
          <w:bCs/>
          <w:spacing w:val="-4"/>
          <w:sz w:val="32"/>
          <w:szCs w:val="32"/>
        </w:rPr>
        <w:t xml:space="preserve">  </w:t>
      </w:r>
      <w:r>
        <w:rPr>
          <w:rFonts w:ascii="仿宋_GB2312" w:eastAsia="仿宋_GB2312" w:cs="楷体_GB2312" w:hAnsi="楷体_GB2312" w:hint="eastAsia"/>
          <w:bCs/>
          <w:spacing w:val="-4"/>
          <w:sz w:val="32"/>
          <w:szCs w:val="32"/>
        </w:rPr>
        <w:t>地方技术转移中心的合作经费须全额纳入学校对公财务账户，实行专账核算、专款专用，并计入牵头学院到账科研经费。合作经费统一划分为管理费、科研经费、日常运营经费三类管理，严禁违规划转。</w:t>
      </w:r>
    </w:p>
    <w:p>
      <w:pPr>
        <w:adjustRightInd w:val="0"/>
        <w:snapToGrid w:val="0"/>
        <w:spacing w:line="560" w:lineRule="exact"/>
        <w:ind w:firstLineChars="200" w:firstLine="640"/>
        <w:contextualSpacing w:val="0"/>
        <w:rPr>
          <w:rFonts w:ascii="仿宋_GB2312" w:eastAsia="仿宋_GB2312" w:cs="楷体_GB2312" w:hAnsi="楷体_GB2312"/>
          <w:bCs/>
          <w:spacing w:val="-4"/>
          <w:sz w:val="32"/>
          <w:szCs w:val="32"/>
        </w:rPr>
      </w:pPr>
      <w:r>
        <w:rPr>
          <w:rFonts w:ascii="黑体" w:eastAsia="黑体" w:cs="黑体" w:hAnsi="黑体" w:hint="eastAsia"/>
          <w:sz w:val="32"/>
          <w:szCs w:val="32"/>
        </w:rPr>
        <w:t>第九条</w:t>
      </w:r>
      <w:r>
        <w:rPr>
          <w:rFonts w:ascii="仿宋_GB2312" w:eastAsia="仿宋_GB2312" w:cs="楷体_GB2312" w:hAnsi="楷体_GB2312"/>
          <w:bCs/>
          <w:spacing w:val="-4"/>
          <w:sz w:val="32"/>
          <w:szCs w:val="32"/>
        </w:rPr>
        <w:t xml:space="preserve">  </w:t>
      </w:r>
      <w:r>
        <w:rPr>
          <w:rFonts w:ascii="仿宋_GB2312" w:eastAsia="仿宋_GB2312" w:cs="楷体_GB2312" w:hAnsi="楷体_GB2312" w:hint="eastAsia"/>
          <w:bCs/>
          <w:spacing w:val="-4"/>
          <w:sz w:val="32"/>
          <w:szCs w:val="32"/>
        </w:rPr>
        <w:t>学校按实际到账经费总额的</w:t>
      </w:r>
      <w:r>
        <w:rPr>
          <w:rFonts w:ascii="Times New Roman" w:eastAsia="仿宋_GB2312" w:hAnsi="Times New Roman"/>
          <w:bCs/>
          <w:spacing w:val="-4"/>
          <w:sz w:val="32"/>
          <w:szCs w:val="32"/>
        </w:rPr>
        <w:t>10%</w:t>
      </w:r>
      <w:r>
        <w:rPr>
          <w:rFonts w:ascii="仿宋_GB2312" w:eastAsia="仿宋_GB2312" w:cs="楷体_GB2312" w:hAnsi="楷体_GB2312" w:hint="eastAsia"/>
          <w:bCs/>
          <w:spacing w:val="-4"/>
          <w:sz w:val="32"/>
          <w:szCs w:val="32"/>
        </w:rPr>
        <w:t>计提管理费。其中，</w:t>
      </w:r>
      <w:r>
        <w:rPr>
          <w:rFonts w:ascii="Times New Roman" w:eastAsia="仿宋_GB2312" w:hAnsi="Times New Roman" w:hint="eastAsia"/>
          <w:bCs/>
          <w:spacing w:val="-4"/>
          <w:sz w:val="32"/>
          <w:szCs w:val="32"/>
        </w:rPr>
        <w:t>50%</w:t>
      </w:r>
      <w:r>
        <w:rPr>
          <w:rFonts w:ascii="仿宋_GB2312" w:eastAsia="仿宋_GB2312" w:cs="楷体_GB2312" w:hAnsi="楷体_GB2312" w:hint="eastAsia"/>
          <w:bCs/>
          <w:spacing w:val="-4"/>
          <w:sz w:val="32"/>
          <w:szCs w:val="32"/>
        </w:rPr>
        <w:t>纳入学校科创发展专项经费，</w:t>
      </w:r>
      <w:r>
        <w:rPr>
          <w:rFonts w:ascii="Times New Roman" w:eastAsia="仿宋_GB2312" w:hAnsi="Times New Roman" w:hint="eastAsia"/>
          <w:bCs/>
          <w:spacing w:val="-4"/>
          <w:sz w:val="32"/>
          <w:szCs w:val="32"/>
        </w:rPr>
        <w:t>25%</w:t>
      </w:r>
      <w:r>
        <w:rPr>
          <w:rFonts w:ascii="仿宋_GB2312" w:eastAsia="仿宋_GB2312" w:cs="楷体_GB2312" w:hAnsi="楷体_GB2312" w:hint="eastAsia"/>
          <w:bCs/>
          <w:spacing w:val="-4"/>
          <w:sz w:val="32"/>
          <w:szCs w:val="32"/>
        </w:rPr>
        <w:t>由科技处统筹用于全校技术转移体系建设与督导管理，</w:t>
      </w:r>
      <w:r>
        <w:rPr>
          <w:rFonts w:ascii="Times New Roman" w:eastAsia="仿宋_GB2312" w:hAnsi="Times New Roman" w:hint="eastAsia"/>
          <w:bCs/>
          <w:spacing w:val="-4"/>
          <w:sz w:val="32"/>
          <w:szCs w:val="32"/>
        </w:rPr>
        <w:t>25%</w:t>
      </w:r>
      <w:r>
        <w:rPr>
          <w:rFonts w:ascii="仿宋_GB2312" w:eastAsia="仿宋_GB2312" w:cs="楷体_GB2312" w:hAnsi="楷体_GB2312" w:hint="eastAsia"/>
          <w:bCs/>
          <w:spacing w:val="-4"/>
          <w:sz w:val="32"/>
          <w:szCs w:val="32"/>
        </w:rPr>
        <w:t>划拨至牵头学院，统筹用于中心属地配套管理保障。</w:t>
      </w:r>
    </w:p>
    <w:p>
      <w:pPr>
        <w:adjustRightInd w:val="0"/>
        <w:snapToGrid w:val="0"/>
        <w:spacing w:line="560" w:lineRule="exact"/>
        <w:ind w:firstLineChars="200" w:firstLine="640"/>
        <w:contextualSpacing w:val="0"/>
        <w:rPr>
          <w:rFonts w:ascii="Times New Roman" w:eastAsia="宋体" w:hAnsi="Times New Roman"/>
          <w:sz w:val="21"/>
        </w:rPr>
      </w:pPr>
      <w:r>
        <w:rPr>
          <w:rFonts w:ascii="黑体" w:eastAsia="黑体" w:cs="黑体" w:hAnsi="黑体" w:hint="eastAsia"/>
          <w:sz w:val="32"/>
          <w:szCs w:val="32"/>
        </w:rPr>
        <w:t>第十条</w:t>
      </w:r>
      <w:r>
        <w:rPr>
          <w:rFonts w:ascii="仿宋_GB2312" w:eastAsia="仿宋_GB2312" w:cs="楷体_GB2312" w:hAnsi="楷体_GB2312"/>
          <w:b/>
          <w:spacing w:val="-4"/>
          <w:sz w:val="32"/>
          <w:szCs w:val="32"/>
        </w:rPr>
        <w:t xml:space="preserve">  </w:t>
      </w:r>
      <w:r>
        <w:rPr>
          <w:rFonts w:ascii="仿宋_GB2312" w:eastAsia="仿宋_GB2312" w:cs="楷体_GB2312" w:hAnsi="楷体_GB2312" w:hint="eastAsia"/>
          <w:bCs/>
          <w:spacing w:val="-4"/>
          <w:sz w:val="32"/>
          <w:szCs w:val="32"/>
        </w:rPr>
        <w:t>科研经费预算比例不低于到账经费总额的</w:t>
      </w:r>
      <w:r>
        <w:rPr>
          <w:rFonts w:ascii="Times New Roman" w:eastAsia="仿宋_GB2312" w:hAnsi="Times New Roman" w:hint="eastAsia"/>
          <w:bCs/>
          <w:spacing w:val="-4"/>
          <w:sz w:val="32"/>
          <w:szCs w:val="32"/>
        </w:rPr>
        <w:t>30%</w:t>
      </w:r>
      <w:r>
        <w:rPr>
          <w:rFonts w:ascii="仿宋_GB2312" w:eastAsia="仿宋_GB2312" w:cs="楷体_GB2312" w:hAnsi="楷体_GB2312" w:hint="eastAsia"/>
          <w:bCs/>
          <w:spacing w:val="-4"/>
          <w:sz w:val="32"/>
          <w:szCs w:val="32"/>
        </w:rPr>
        <w:t>，专项用于属地产业技术攻关及联合研发，其成果作为地方技术转移中心的考核依据。课题由地方技术转移中心面向全校公开组织申报，择优立项。项目负责人须签订科研任务书，经费使用严格按照学校纵向科研项目管理规定执行，相关工作纳入科研考核。严禁以任何违规方式套取、转出科研经费，对违规违纪行为将严肃追责。</w:t>
      </w:r>
    </w:p>
    <w:p>
      <w:pPr>
        <w:adjustRightInd w:val="0"/>
        <w:snapToGrid w:val="0"/>
        <w:spacing w:line="560" w:lineRule="exact"/>
        <w:ind w:firstLineChars="200" w:firstLine="640"/>
        <w:contextualSpacing w:val="0"/>
        <w:rPr>
          <w:rFonts w:ascii="Times New Roman" w:eastAsia="宋体" w:hAnsi="Times New Roman"/>
          <w:sz w:val="21"/>
        </w:rPr>
      </w:pPr>
      <w:r>
        <w:rPr>
          <w:rFonts w:ascii="黑体" w:eastAsia="黑体" w:cs="黑体" w:hAnsi="黑体" w:hint="eastAsia"/>
          <w:sz w:val="32"/>
          <w:szCs w:val="32"/>
        </w:rPr>
        <w:t>第十一条</w:t>
      </w:r>
      <w:r>
        <w:rPr>
          <w:rFonts w:ascii="仿宋_GB2312" w:eastAsia="仿宋_GB2312" w:cs="楷体_GB2312" w:hAnsi="楷体_GB2312" w:hint="eastAsia"/>
          <w:bCs/>
          <w:spacing w:val="-4"/>
          <w:sz w:val="32"/>
          <w:szCs w:val="32"/>
        </w:rPr>
        <w:t xml:space="preserve"> </w:t>
      </w:r>
      <w:r>
        <w:rPr>
          <w:rFonts w:ascii="仿宋_GB2312" w:eastAsia="仿宋_GB2312" w:cs="楷体_GB2312" w:hAnsi="楷体_GB2312"/>
          <w:bCs/>
          <w:spacing w:val="-4"/>
          <w:sz w:val="32"/>
          <w:szCs w:val="32"/>
        </w:rPr>
        <w:t xml:space="preserve"> </w:t>
      </w:r>
      <w:r>
        <w:rPr>
          <w:rFonts w:ascii="仿宋_GB2312" w:eastAsia="仿宋_GB2312" w:cs="楷体_GB2312" w:hAnsi="楷体_GB2312" w:hint="eastAsia"/>
          <w:bCs/>
          <w:spacing w:val="-4"/>
          <w:sz w:val="32"/>
          <w:szCs w:val="32"/>
        </w:rPr>
        <w:t>运营经费专项用于中心日常运行及业务开展，支出范围限定为：一、基础运营支出，包括办公设备购置维保、场地租赁、水电通讯等费用；二、人员相关支出，包括蹲点人员差旅补贴、劳务报酬、聘用人员社保配套等；三、活动组织支出，包括技术对接、成果推介、政策宣讲等产学研会务费用；四、专业服务支出，包括市场调研、技术评估、合规法律咨询等服务费用。确需委托第三方机构协助运营的，须在校地合作协议中明确约定，按流程审批备案后实施。</w:t>
      </w:r>
    </w:p>
    <w:p>
      <w:pPr>
        <w:adjustRightInd w:val="0"/>
        <w:snapToGrid w:val="0"/>
        <w:spacing w:line="560" w:lineRule="exact"/>
        <w:ind w:firstLineChars="200" w:firstLine="640"/>
        <w:contextualSpacing w:val="0"/>
        <w:rPr>
          <w:rFonts w:ascii="仿宋_GB2312" w:eastAsia="仿宋_GB2312" w:cs="楷体_GB2312" w:hAnsi="楷体_GB2312"/>
          <w:bCs/>
          <w:spacing w:val="-4"/>
          <w:sz w:val="32"/>
          <w:szCs w:val="32"/>
        </w:rPr>
      </w:pPr>
      <w:r>
        <w:rPr>
          <w:rFonts w:ascii="黑体" w:eastAsia="黑体" w:cs="黑体" w:hAnsi="黑体" w:hint="eastAsia"/>
          <w:sz w:val="32"/>
          <w:szCs w:val="32"/>
        </w:rPr>
        <w:t>第十二条</w:t>
      </w:r>
      <w:r>
        <w:rPr>
          <w:rFonts w:ascii="仿宋_GB2312" w:eastAsia="仿宋_GB2312" w:cs="楷体_GB2312" w:hAnsi="楷体_GB2312"/>
          <w:bCs/>
          <w:spacing w:val="-4"/>
          <w:sz w:val="32"/>
          <w:szCs w:val="32"/>
        </w:rPr>
        <w:t xml:space="preserve">   </w:t>
      </w:r>
      <w:r>
        <w:rPr>
          <w:rFonts w:ascii="仿宋_GB2312" w:eastAsia="仿宋_GB2312" w:cs="楷体_GB2312" w:hAnsi="楷体_GB2312" w:hint="eastAsia"/>
          <w:bCs/>
          <w:spacing w:val="-4"/>
          <w:sz w:val="32"/>
          <w:szCs w:val="32"/>
        </w:rPr>
        <w:t>本办法由科技处负责解释。</w:t>
      </w:r>
    </w:p>
    <w:p>
      <w:pPr>
        <w:adjustRightInd w:val="0"/>
        <w:snapToGrid w:val="0"/>
        <w:spacing w:line="560" w:lineRule="exact"/>
        <w:ind w:firstLineChars="200" w:firstLine="640"/>
        <w:contextualSpacing w:val="0"/>
        <w:rPr>
          <w:rFonts w:ascii="仿宋_GB2312" w:eastAsia="仿宋_GB2312" w:cs="楷体_GB2312" w:hAnsi="楷体_GB2312"/>
          <w:bCs/>
          <w:spacing w:val="-4"/>
          <w:sz w:val="32"/>
          <w:szCs w:val="32"/>
        </w:rPr>
      </w:pPr>
      <w:r>
        <w:rPr>
          <w:rFonts w:ascii="黑体" w:eastAsia="黑体" w:cs="黑体" w:hAnsi="黑体" w:hint="eastAsia"/>
          <w:sz w:val="32"/>
          <w:szCs w:val="32"/>
        </w:rPr>
        <w:t>第十三条</w:t>
      </w:r>
      <w:r>
        <w:rPr>
          <w:rFonts w:ascii="仿宋_GB2312" w:eastAsia="仿宋_GB2312" w:cs="楷体_GB2312" w:hAnsi="楷体_GB2312"/>
          <w:bCs/>
          <w:spacing w:val="-4"/>
          <w:sz w:val="32"/>
          <w:szCs w:val="32"/>
        </w:rPr>
        <w:t xml:space="preserve">  </w:t>
      </w:r>
      <w:r>
        <w:rPr>
          <w:rFonts w:ascii="仿宋_GB2312" w:eastAsia="仿宋_GB2312" w:cs="楷体_GB2312" w:hAnsi="楷体_GB2312" w:hint="eastAsia"/>
          <w:bCs/>
          <w:spacing w:val="-4"/>
          <w:sz w:val="32"/>
          <w:szCs w:val="32"/>
        </w:rPr>
        <w:t>本办法自印发之日起正式施行。已设立的地方技术转移中心参照本办法执行。</w:t>
      </w:r>
    </w:p>
    <w:tbl>
      <w:tblPr>
        <w:tblpPr w:leftFromText="181" w:rightFromText="181" w:tblpXSpec="left" w:tblpYSpec="bottom"/>
        <w:tblOverlap w:val="never"/>
        <w:tblW w:w="8865" w:type="dxa"/>
        <w:tblBorders>
          <w:top w:val="single" w:sz="8" w:space="0" w:color="auto"/>
          <w:left w:val="none" w:sz="0" w:space="0" w:color="auto"/>
          <w:bottom w:val="single" w:sz="8" w:space="0" w:color="auto"/>
          <w:right w:val="none" w:sz="0" w:space="0" w:color="auto"/>
          <w:insideH w:val="outset" w:sz="6" w:space="0" w:color="auto"/>
          <w:insideV w:val="outset" w:sz="6" w:space="0" w:color="auto"/>
        </w:tblBorders>
        <w:tblLayout w:type="fixed"/>
        <w:tblCellMar>
          <w:top w:w="0" w:type="dxa"/>
          <w:left w:w="108" w:type="dxa"/>
          <w:bottom w:w="0" w:type="dxa"/>
          <w:right w:w="108" w:type="dxa"/>
        </w:tblCellMar>
        <w:tblLook w:val="04A0" w:firstRow="1" w:lastRow="0" w:firstColumn="1" w:lastColumn="0" w:noHBand="0" w:noVBand="1"/>
      </w:tblPr>
      <w:tblGrid>
        <w:gridCol w:w="8865"/>
      </w:tblGrid>
      <w:tr>
        <w:trPr>
          <w:trHeight w:val="570"/>
        </w:trPr>
        <w:tc>
          <w:tcPr>
            <w:tcW w:w="8865" w:type="dxa"/>
            <w:tcBorders>
              <w:top w:val="single" w:sz="8" w:space="0" w:color="auto"/>
              <w:left w:val="nil"/>
              <w:bottom w:val="single" w:sz="8" w:space="0" w:color="auto"/>
              <w:right w:val="nil"/>
              <w:tl2br w:val="nil"/>
              <w:tr2bl w:val="nil"/>
            </w:tcBorders>
            <w:vAlign w:val="center"/>
          </w:tcPr>
          <w:p>
            <w:pPr>
              <w:keepNext w:val="0"/>
              <w:keepLines w:val="0"/>
              <w:pageBreakBefore w:val="0"/>
              <w:widowControl/>
              <w:suppressLineNumbers w:val="0"/>
              <w:suppressAutoHyphens w:val="0"/>
              <w:spacing w:before="0" w:beforeAutospacing="0" w:after="0" w:afterAutospacing="0" w:line="400" w:lineRule="exact"/>
              <w:ind w:left="0" w:firstLine="0"/>
              <w:rPr>
                <w:rFonts w:ascii="仿宋" w:eastAsia="仿宋" w:hAnsi="仿宋" w:hint="eastAsia"/>
                <w:caps w:val="0"/>
                <w:smallCaps w:val="0"/>
                <w:vanish w:val="0"/>
                <w:color w:val="auto"/>
                <w:sz w:val="28"/>
                <w:szCs w:val="28"/>
                <w:vertAlign w:val="baseline"/>
              </w:rPr>
            </w:pPr>
            <w:r>
              <w:rPr>
                <w:rFonts w:ascii="仿宋" w:eastAsia="仿宋" w:hAnsi="仿宋" w:hint="eastAsia"/>
                <w:caps w:val="0"/>
                <w:smallCaps w:val="0"/>
                <w:vanish w:val="0"/>
                <w:color w:val="auto"/>
                <w:sz w:val="28"/>
                <w:szCs w:val="22"/>
                <w:vertAlign w:val="baseline"/>
              </w:rPr>
              <w:t>安徽工程大学</w:t>
            </w:r>
            <w:r>
              <w:rPr>
                <w:rFonts w:ascii="仿宋" w:eastAsia="仿宋" w:hAnsi="仿宋"/>
                <w:sz w:val="28"/>
                <w:szCs w:val="22"/>
              </w:rPr>
              <w:t>校长</w:t>
            </w:r>
            <w:r>
              <w:rPr>
                <w:rFonts w:ascii="仿宋" w:eastAsia="仿宋" w:hAnsi="仿宋" w:hint="eastAsia"/>
                <w:sz w:val="28"/>
                <w:szCs w:val="22"/>
              </w:rPr>
              <w:t xml:space="preserve">办公室            </w:t>
            </w:r>
            <w:r>
              <w:rPr>
                <w:rFonts w:ascii="仿宋" w:eastAsia="仿宋" w:hAnsi="仿宋"/>
                <w:sz w:val="28"/>
                <w:szCs w:val="22"/>
              </w:rPr>
              <w:t xml:space="preserve">     </w:t>
            </w:r>
            <w:r>
              <w:rPr>
                <w:rFonts w:ascii="仿宋" w:eastAsia="仿宋" w:hAnsi="仿宋" w:hint="eastAsia"/>
                <w:sz w:val="28"/>
                <w:szCs w:val="22"/>
              </w:rPr>
              <w:t xml:space="preserve">    </w:t>
            </w:r>
            <w:bookmarkStart w:id="3" w:name="printtime"/>
            <w:r>
              <w:rPr>
                <w:rFonts w:ascii="仿宋" w:eastAsia="仿宋" w:hAnsi="仿宋" w:hint="eastAsia"/>
                <w:sz w:val="28"/>
                <w:szCs w:val="22"/>
              </w:rPr>
              <w:t>202</w:t>
            </w:r>
            <w:r>
              <w:rPr>
                <w:rFonts w:ascii="仿宋" w:eastAsia="仿宋" w:hAnsi="仿宋"/>
                <w:sz w:val="28"/>
                <w:szCs w:val="22"/>
              </w:rPr>
              <w:t>6</w:t>
            </w:r>
            <w:r>
              <w:rPr>
                <w:rFonts w:ascii="仿宋" w:eastAsia="仿宋" w:hAnsi="仿宋" w:hint="eastAsia"/>
                <w:sz w:val="28"/>
                <w:szCs w:val="22"/>
              </w:rPr>
              <w:t>年</w:t>
            </w:r>
            <w:r>
              <w:rPr>
                <w:rFonts w:ascii="仿宋" w:eastAsia="仿宋" w:hAnsi="仿宋"/>
                <w:sz w:val="28"/>
                <w:szCs w:val="22"/>
              </w:rPr>
              <w:t>5</w:t>
            </w:r>
            <w:r>
              <w:rPr>
                <w:rFonts w:ascii="仿宋" w:eastAsia="仿宋" w:hAnsi="仿宋" w:hint="eastAsia"/>
                <w:caps w:val="0"/>
                <w:smallCaps w:val="0"/>
                <w:vanish w:val="0"/>
                <w:color w:val="auto"/>
                <w:sz w:val="28"/>
                <w:szCs w:val="28"/>
                <w:vertAlign w:val="baseline"/>
              </w:rPr>
              <w:t>月1</w:t>
            </w:r>
            <w:r>
              <w:rPr>
                <w:rFonts w:ascii="仿宋" w:eastAsia="仿宋" w:hAnsi="仿宋"/>
                <w:caps w:val="0"/>
                <w:smallCaps w:val="0"/>
                <w:vanish w:val="0"/>
                <w:color w:val="auto"/>
                <w:sz w:val="28"/>
                <w:szCs w:val="28"/>
                <w:vertAlign w:val="baseline"/>
              </w:rPr>
              <w:t>3</w:t>
            </w:r>
            <w:r>
              <w:rPr>
                <w:rFonts w:ascii="仿宋" w:eastAsia="仿宋" w:hAnsi="仿宋" w:hint="eastAsia"/>
                <w:caps w:val="0"/>
                <w:smallCaps w:val="0"/>
                <w:vanish w:val="0"/>
                <w:color w:val="auto"/>
                <w:sz w:val="28"/>
                <w:szCs w:val="28"/>
                <w:vertAlign w:val="baseline"/>
              </w:rPr>
              <w:t>日</w:t>
            </w:r>
            <w:bookmarkEnd w:id="3"/>
            <w:r>
              <w:rPr>
                <w:rFonts w:ascii="仿宋" w:eastAsia="仿宋" w:hAnsi="仿宋" w:hint="eastAsia"/>
                <w:caps w:val="0"/>
                <w:smallCaps w:val="0"/>
                <w:vanish w:val="0"/>
                <w:color w:val="auto"/>
                <w:sz w:val="28"/>
                <w:szCs w:val="28"/>
                <w:vertAlign w:val="baseline"/>
              </w:rPr>
              <w:t>印发</w:t>
            </w:r>
          </w:p>
        </w:tc>
      </w:tr>
    </w:tbl>
    <w:p>
      <w:pPr>
        <w:rPr>
          <w:rFonts w:ascii="Times New Roman" w:eastAsia="宋体" w:hAnsi="Times New Roman"/>
          <w:sz w:val="21"/>
        </w:rPr>
      </w:pPr>
    </w:p>
    <w:p>
      <w:pPr>
        <w:adjustRightInd w:val="0"/>
        <w:snapToGrid/>
        <w:spacing w:before="0" w:beforeAutospacing="0" w:after="0" w:afterAutospacing="0" w:line="20" w:lineRule="exact"/>
        <w:ind w:left="0" w:firstLine="0"/>
        <w:contextualSpacing w:val="0"/>
        <w:jc w:val="both"/>
        <w:rPr>
          <w:rFonts w:eastAsia="仿宋_GB2312"/>
          <w:spacing w:val="-2"/>
          <w:sz w:val="32"/>
          <w:szCs w:val="32"/>
        </w:rPr>
      </w:pPr>
    </w:p>
    <w:sectPr>
      <w:footerReference w:type="default" r:id="rId2"/>
      <w:footerReference w:type="even" r:id="rId3"/>
      <w:pgSz w:w="11906" w:h="16838"/>
      <w:pgMar w:top="2097" w:right="1474" w:bottom="1984" w:left="1587"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script"/>
    <w:pitch w:val="variable"/>
    <w:sig w:usb0="A00002BF" w:usb1="184F6CFA" w:usb2="00000012" w:usb3="00000000" w:csb0="00040001" w:csb1="00000000"/>
  </w:font>
  <w:font w:name="仿宋_GB2312">
    <w:panose1 w:val="02010609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auto"/>
    <w:pitch w:val="variable"/>
    <w:sig w:usb0="00000A87" w:usb1="00000000" w:usb2="00000000" w:usb3="00000000" w:csb0="400001BF" w:csb1="DFF70000"/>
  </w:font>
  <w:font w:name="楷体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Lucida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outside" w:y="1" w:anchorLock="0"/>
      <w:tabs>
        <w:tab w:val="center" w:pos="4153"/>
        <w:tab w:val="right" w:pos="8307"/>
      </w:tabs>
      <w:rPr>
        <w:sz w:val="28"/>
        <w:szCs w:val="28"/>
      </w:rPr>
    </w:pPr>
    <w:r>
      <w:rPr>
        <w:sz w:val="28"/>
        <w:szCs w:val="28"/>
      </w:rPr>
      <w:t xml:space="preserve"> — </w:t>
    </w:r>
    <w:r>
      <w:rPr>
        <w:rStyle w:val="24"/>
        <w:sz w:val="28"/>
        <w:szCs w:val="28"/>
      </w:rPr>
      <w:fldChar w:fldCharType="begin"/>
    </w:r>
    <w:r>
      <w:rPr>
        <w:rStyle w:val="24"/>
        <w:sz w:val="28"/>
        <w:szCs w:val="28"/>
      </w:rPr>
      <w:instrText>Page</w:instrText>
    </w:r>
    <w:r>
      <w:rPr>
        <w:rStyle w:val="24"/>
        <w:sz w:val="28"/>
        <w:szCs w:val="28"/>
      </w:rPr>
      <w:fldChar w:fldCharType="separate"/>
    </w:r>
    <w:r>
      <w:rPr>
        <w:rStyle w:val="24"/>
        <w:sz w:val="28"/>
        <w:szCs w:val="28"/>
      </w:rPr>
      <w:t>1</w:t>
    </w:r>
    <w:r>
      <w:rPr>
        <w:rStyle w:val="24"/>
        <w:sz w:val="28"/>
        <w:szCs w:val="28"/>
      </w:rPr>
      <w:fldChar w:fldCharType="end"/>
    </w:r>
    <w:r>
      <w:rPr>
        <w:sz w:val="28"/>
        <w:szCs w:val="28"/>
      </w:rPr>
      <w:t xml:space="preserve"> — </w:t>
    </w:r>
  </w:p>
  <w:p>
    <w:pPr>
      <w:pStyle w:val="21"/>
      <w:tabs>
        <w:tab w:val="center" w:pos="4153"/>
        <w:tab w:val="right" w:pos="8307"/>
      </w:tabs>
      <w:ind w:firstLine="360"/>
      <w:rPr>
        <w:rStyle w:val="0"/>
        <w:sz w:val="28"/>
        <w:szCs w:val="28"/>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outside" w:y="1" w:anchorLock="0"/>
      <w:tabs>
        <w:tab w:val="center" w:pos="4153"/>
        <w:tab w:val="right" w:pos="8307"/>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21"/>
      <w:tabs>
        <w:tab w:val="center" w:pos="4153"/>
        <w:tab w:val="right" w:pos="8307"/>
      </w:tabs>
      <w:ind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bCs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
    <w:name w:val="heading 1"/>
    <w:qFormat/>
    <w:basedOn w:val="0"/>
    <w:next w:val="0"/>
    <w:link w:val="1Char"/>
    <w:pPr>
      <w:keepNext/>
      <w:keepLines/>
      <w:spacing w:before="340" w:beforeAutospacing="0" w:after="330" w:afterAutospacing="0" w:line="576" w:lineRule="auto"/>
      <w:outlineLvl w:val="0"/>
    </w:pPr>
    <w:rPr>
      <w:b/>
      <w:kern w:val="44"/>
      <w:sz w:val="44"/>
    </w:rPr>
  </w:style>
  <w:style w:type="character" w:customStyle="1" w:styleId="1Char">
    <w:name w:val="heading 1 Char"/>
    <w:basedOn w:val="10"/>
    <w:link w:val="1"/>
    <w:rPr>
      <w:rFonts w:ascii="Times New Roman" w:eastAsia="宋体" w:cs="Times New Roman" w:hAnsi="Times New Roman"/>
      <w:b/>
      <w:bCs w:val="0"/>
      <w:i w:val="0"/>
      <w:caps w:val="0"/>
      <w:smallCaps w:val="0"/>
      <w:strike w:val="0"/>
      <w:dstrike w:val="0"/>
      <w:snapToGrid/>
      <w:vanish w:val="0"/>
      <w:color w:val="auto"/>
      <w:spacing w:val="0"/>
      <w:w w:val="100"/>
      <w:kern w:val="44"/>
      <w:position w:val="0"/>
      <w:sz w:val="44"/>
      <w:szCs w:val="24"/>
      <w:u w:val="none" w:color="auto"/>
      <w:shd w:val="clear" w:color="auto" w:fill="auto"/>
      <w:vertAlign w:val="baseline"/>
      <w:em w:val="none"/>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bidi="ar-SA"/>
    </w:rPr>
  </w:style>
  <w:style w:type="character" w:default="1" w:styleId="10">
    <w:name w:val="Default Paragraph Font"/>
    <w:qFormat/>
  </w:style>
  <w:style w:type="paragraph" w:styleId="15">
    <w:name w:val="toc 1"/>
    <w:qFormat/>
    <w:basedOn w:val="0"/>
    <w:autoRedefine/>
    <w:next w:val="0"/>
  </w:style>
  <w:style w:type="paragraph" w:styleId="16">
    <w:name w:val="toc 2"/>
    <w:qFormat/>
    <w:basedOn w:val="0"/>
    <w:autoRedefine/>
    <w:next w:val="0"/>
    <w:pPr>
      <w:ind w:left="420"/>
    </w:pPr>
  </w:style>
  <w:style w:type="paragraph" w:styleId="17">
    <w:name w:val="toc 3"/>
    <w:qFormat/>
    <w:basedOn w:val="0"/>
    <w:autoRedefine/>
    <w:next w:val="0"/>
    <w:pPr>
      <w:ind w:left="840"/>
    </w:pPr>
  </w:style>
  <w:style w:type="paragraph" w:styleId="18">
    <w:name w:val="toc 4"/>
    <w:qFormat/>
    <w:basedOn w:val="0"/>
    <w:autoRedefine/>
    <w:next w:val="0"/>
    <w:pPr>
      <w:ind w:left="1260"/>
    </w:pPr>
  </w:style>
  <w:style w:type="paragraph" w:styleId="19">
    <w:name w:val="toc 5"/>
    <w:qFormat/>
    <w:basedOn w:val="0"/>
    <w:autoRedefine/>
    <w:next w:val="0"/>
    <w:pPr>
      <w:ind w:left="1680"/>
    </w:pPr>
  </w:style>
  <w:style w:type="paragraph" w:styleId="20">
    <w:name w:val="header"/>
    <w:qFormat/>
    <w:basedOn w:val="0"/>
    <w:pPr>
      <w:pBdr>
        <w:bottom w:val="single" w:sz="6" w:space="1" w:color="auto"/>
      </w:pBdr>
      <w:tabs>
        <w:tab w:val="center" w:pos="4153"/>
        <w:tab w:val="right" w:pos="8307"/>
      </w:tabs>
      <w:adjustRightInd/>
      <w:snapToGrid w:val="0"/>
      <w:contextualSpacing w:val="0"/>
      <w:jc w:val="center"/>
    </w:pPr>
    <w:rPr>
      <w:sz w:val="18"/>
      <w:szCs w:val="18"/>
    </w:rPr>
  </w:style>
  <w:style w:type="paragraph" w:styleId="21">
    <w:name w:val="footer"/>
    <w:qFormat/>
    <w:basedOn w:val="0"/>
    <w:pPr>
      <w:tabs>
        <w:tab w:val="center" w:pos="4153"/>
        <w:tab w:val="right" w:pos="8307"/>
      </w:tabs>
      <w:adjustRightInd/>
      <w:snapToGrid w:val="0"/>
      <w:contextualSpacing w:val="0"/>
      <w:jc w:val="left"/>
    </w:pPr>
    <w:rPr>
      <w:sz w:val="18"/>
      <w:szCs w:val="18"/>
    </w:rPr>
  </w:style>
  <w:style w:type="paragraph" w:styleId="22">
    <w:name w:val="annotation text"/>
    <w:qFormat/>
    <w:basedOn w:val="0"/>
    <w:pPr>
      <w:jc w:val="left"/>
    </w:pPr>
  </w:style>
  <w:style w:type="paragraph" w:styleId="23">
    <w:name w:val="annotation subject"/>
    <w:qFormat/>
    <w:basedOn w:val="22"/>
    <w:next w:val="22"/>
    <w:rPr>
      <w:b/>
      <w:bCs/>
    </w:rPr>
  </w:style>
  <w:style w:type="character" w:styleId="24">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5B793B7-4A21-422E-A30C-042EF5D03BF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116</TotalTime>
  <Application>WPS_Yozo_Office9.0.2389.101ZH.S1</Application>
  <Pages>6</Pages>
  <Words>0</Words>
  <Characters>1338</Characters>
  <Lines>0</Lines>
  <Paragraphs>34</Paragraphs>
  <CharactersWithSpaces>1785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郑滨</dc:creator>
  <cp:lastModifiedBy>User_万飞</cp:lastModifiedBy>
  <cp:revision>1</cp:revision>
  <dcterms:created xsi:type="dcterms:W3CDTF">2021-01-13T06:20:00Z</dcterms:created>
  <dcterms:modified xsi:type="dcterms:W3CDTF">2026-05-13T03:55:17Z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2052-11.1.0.10168</vt:lpwstr>
  </property>
</Properties>
</file>